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7D" w:rsidRPr="00D44C2C" w:rsidRDefault="00D7001A" w:rsidP="00D44C2C">
      <w:pPr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Kü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066B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/2019</w:t>
      </w:r>
      <w:r w:rsidR="000D4C7D" w:rsidRPr="00D44C2C">
        <w:rPr>
          <w:rFonts w:ascii="Times New Roman" w:hAnsi="Times New Roman" w:cs="Times New Roman"/>
          <w:sz w:val="24"/>
          <w:szCs w:val="24"/>
        </w:rPr>
        <w:t>/1.</w:t>
      </w:r>
    </w:p>
    <w:p w:rsidR="000D4C7D" w:rsidRPr="00D44C2C" w:rsidRDefault="000D4C7D" w:rsidP="00D44C2C">
      <w:pPr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7D" w:rsidRPr="00D44C2C" w:rsidRDefault="000D4C7D" w:rsidP="00D44C2C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</w:p>
    <w:p w:rsidR="000D4C7D" w:rsidRPr="00D44C2C" w:rsidRDefault="000D4C7D" w:rsidP="00D44C2C">
      <w:pPr>
        <w:spacing w:after="0" w:line="283" w:lineRule="auto"/>
        <w:rPr>
          <w:rFonts w:ascii="Times New Roman" w:hAnsi="Times New Roman" w:cs="Times New Roman"/>
          <w:b/>
          <w:sz w:val="24"/>
          <w:szCs w:val="24"/>
        </w:rPr>
      </w:pPr>
      <w:r w:rsidRPr="00D44C2C">
        <w:rPr>
          <w:rFonts w:ascii="Times New Roman" w:hAnsi="Times New Roman" w:cs="Times New Roman"/>
          <w:b/>
          <w:sz w:val="24"/>
          <w:szCs w:val="24"/>
        </w:rPr>
        <w:t>Dr. Pintér Sándor</w:t>
      </w:r>
    </w:p>
    <w:p w:rsidR="000D4C7D" w:rsidRPr="00D44C2C" w:rsidRDefault="000D4C7D" w:rsidP="00D44C2C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Belügyminiszter Úr részére</w:t>
      </w:r>
    </w:p>
    <w:p w:rsidR="000D4C7D" w:rsidRPr="00D44C2C" w:rsidRDefault="000D4C7D" w:rsidP="00D44C2C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</w:p>
    <w:p w:rsidR="000D4C7D" w:rsidRPr="00D44C2C" w:rsidRDefault="000D4C7D" w:rsidP="00D44C2C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Belügyminisztérium</w:t>
      </w:r>
    </w:p>
    <w:p w:rsidR="000D4C7D" w:rsidRPr="00D44C2C" w:rsidRDefault="000D4C7D" w:rsidP="00D44C2C">
      <w:pPr>
        <w:spacing w:after="0" w:line="283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4C2C">
        <w:rPr>
          <w:rFonts w:ascii="Times New Roman" w:hAnsi="Times New Roman" w:cs="Times New Roman"/>
          <w:sz w:val="24"/>
          <w:szCs w:val="24"/>
          <w:u w:val="single"/>
        </w:rPr>
        <w:t>Budapest</w:t>
      </w:r>
    </w:p>
    <w:p w:rsidR="000D4C7D" w:rsidRPr="00D44C2C" w:rsidRDefault="000D4C7D" w:rsidP="00D44C2C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József Attila utca 2-4.</w:t>
      </w:r>
    </w:p>
    <w:p w:rsidR="000D4C7D" w:rsidRPr="00D44C2C" w:rsidRDefault="000D4C7D" w:rsidP="00D44C2C">
      <w:pPr>
        <w:autoSpaceDE w:val="0"/>
        <w:autoSpaceDN w:val="0"/>
        <w:adjustRightInd w:val="0"/>
        <w:spacing w:after="0" w:line="283" w:lineRule="auto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1051</w:t>
      </w:r>
      <w:r w:rsidRPr="00D44C2C">
        <w:rPr>
          <w:rFonts w:ascii="Times New Roman" w:hAnsi="Times New Roman" w:cs="Times New Roman"/>
          <w:sz w:val="24"/>
          <w:szCs w:val="24"/>
        </w:rPr>
        <w:tab/>
      </w:r>
    </w:p>
    <w:p w:rsidR="000D4C7D" w:rsidRPr="00D44C2C" w:rsidRDefault="000D4C7D" w:rsidP="00D44C2C">
      <w:pPr>
        <w:autoSpaceDE w:val="0"/>
        <w:autoSpaceDN w:val="0"/>
        <w:adjustRightInd w:val="0"/>
        <w:spacing w:after="0" w:line="283" w:lineRule="auto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44C2C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Tárgy</w:t>
      </w:r>
      <w:proofErr w:type="spellEnd"/>
      <w:r w:rsidRPr="00D44C2C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:</w:t>
      </w:r>
      <w:proofErr w:type="gramEnd"/>
      <w:r w:rsidRPr="00D44C2C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D44C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2020. </w:t>
      </w:r>
      <w:proofErr w:type="gramStart"/>
      <w:r w:rsidRPr="00D44C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évi</w:t>
      </w:r>
      <w:proofErr w:type="gramEnd"/>
      <w:r w:rsidRPr="00D44C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566BBC" w:rsidRPr="00D44C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illetményfejlesztéshez javaslatok</w:t>
      </w:r>
    </w:p>
    <w:p w:rsidR="000D4C7D" w:rsidRPr="00D44C2C" w:rsidRDefault="000D4C7D" w:rsidP="00D44C2C">
      <w:pPr>
        <w:spacing w:after="0" w:line="283" w:lineRule="auto"/>
        <w:rPr>
          <w:rFonts w:ascii="Times New Roman" w:hAnsi="Times New Roman" w:cs="Times New Roman"/>
          <w:b/>
          <w:sz w:val="24"/>
          <w:szCs w:val="24"/>
        </w:rPr>
      </w:pPr>
    </w:p>
    <w:p w:rsidR="000D4C7D" w:rsidRPr="00D44C2C" w:rsidRDefault="000D4C7D" w:rsidP="00D44C2C">
      <w:pPr>
        <w:spacing w:after="0" w:line="283" w:lineRule="auto"/>
        <w:rPr>
          <w:rFonts w:ascii="Times New Roman" w:hAnsi="Times New Roman" w:cs="Times New Roman"/>
          <w:b/>
          <w:sz w:val="24"/>
          <w:szCs w:val="24"/>
        </w:rPr>
      </w:pPr>
      <w:r w:rsidRPr="00D44C2C">
        <w:rPr>
          <w:rFonts w:ascii="Times New Roman" w:hAnsi="Times New Roman" w:cs="Times New Roman"/>
          <w:b/>
          <w:sz w:val="24"/>
          <w:szCs w:val="24"/>
        </w:rPr>
        <w:t>Tisztelt Belügyminiszter Úr!</w:t>
      </w:r>
    </w:p>
    <w:p w:rsidR="000D4C7D" w:rsidRPr="00D44C2C" w:rsidRDefault="000D4C7D" w:rsidP="00D44C2C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</w:p>
    <w:p w:rsidR="000D4C7D" w:rsidRPr="00D44C2C" w:rsidRDefault="000D4C7D" w:rsidP="00D44C2C">
      <w:pPr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C7D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D44C2C">
        <w:rPr>
          <w:rFonts w:ascii="Times New Roman" w:hAnsi="Times New Roman" w:cs="Times New Roman"/>
          <w:b/>
          <w:sz w:val="24"/>
          <w:szCs w:val="24"/>
        </w:rPr>
        <w:t>Tettrekész</w:t>
      </w:r>
      <w:proofErr w:type="spellEnd"/>
      <w:r w:rsidRPr="00D44C2C">
        <w:rPr>
          <w:rFonts w:ascii="Times New Roman" w:hAnsi="Times New Roman" w:cs="Times New Roman"/>
          <w:b/>
          <w:sz w:val="24"/>
          <w:szCs w:val="24"/>
        </w:rPr>
        <w:t xml:space="preserve"> Magyar Rendőrség Szakszervezete (</w:t>
      </w:r>
      <w:r w:rsidRPr="00D44C2C">
        <w:rPr>
          <w:rFonts w:ascii="Times New Roman" w:hAnsi="Times New Roman" w:cs="Times New Roman"/>
          <w:sz w:val="24"/>
          <w:szCs w:val="24"/>
        </w:rPr>
        <w:t xml:space="preserve">székhelye: 7100 Szekszárd, </w:t>
      </w:r>
      <w:proofErr w:type="spellStart"/>
      <w:r w:rsidRPr="00D44C2C">
        <w:rPr>
          <w:rFonts w:ascii="Times New Roman" w:hAnsi="Times New Roman" w:cs="Times New Roman"/>
          <w:sz w:val="24"/>
          <w:szCs w:val="24"/>
        </w:rPr>
        <w:t>Augusz</w:t>
      </w:r>
      <w:proofErr w:type="spellEnd"/>
      <w:r w:rsidRPr="00D44C2C">
        <w:rPr>
          <w:rFonts w:ascii="Times New Roman" w:hAnsi="Times New Roman" w:cs="Times New Roman"/>
          <w:sz w:val="24"/>
          <w:szCs w:val="24"/>
        </w:rPr>
        <w:t xml:space="preserve"> Imre u. 9-11. 3. emelet 306-307.</w:t>
      </w:r>
      <w:r w:rsidR="00566BBC" w:rsidRPr="00D44C2C">
        <w:rPr>
          <w:rFonts w:ascii="Times New Roman" w:hAnsi="Times New Roman" w:cs="Times New Roman"/>
          <w:sz w:val="24"/>
          <w:szCs w:val="24"/>
        </w:rPr>
        <w:t>; képviseli : dr. Balázs Ildikó főtitkár</w:t>
      </w:r>
      <w:r w:rsidRPr="00D44C2C">
        <w:rPr>
          <w:rFonts w:ascii="Times New Roman" w:hAnsi="Times New Roman" w:cs="Times New Roman"/>
          <w:sz w:val="24"/>
          <w:szCs w:val="24"/>
        </w:rPr>
        <w:t xml:space="preserve"> ) </w:t>
      </w:r>
      <w:r w:rsidRPr="00D44C2C">
        <w:rPr>
          <w:rFonts w:ascii="Times New Roman" w:hAnsi="Times New Roman" w:cs="Times New Roman"/>
          <w:b/>
          <w:sz w:val="24"/>
          <w:szCs w:val="24"/>
        </w:rPr>
        <w:t xml:space="preserve">nevében </w:t>
      </w:r>
      <w:r w:rsidR="00566BBC" w:rsidRPr="00D44C2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566BBC" w:rsidRPr="00D44C2C">
        <w:rPr>
          <w:rFonts w:ascii="Times New Roman" w:hAnsi="Times New Roman" w:cs="Times New Roman"/>
          <w:sz w:val="24"/>
          <w:szCs w:val="24"/>
        </w:rPr>
        <w:t>rendvédelmi feladatokat ellátó szervek hivatásos állományának szolgálati jogviszonyáról szóló 2015. évi XLII. törvény 313. §</w:t>
      </w:r>
      <w:proofErr w:type="spellStart"/>
      <w:r w:rsidR="00566BBC" w:rsidRPr="00D44C2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66BBC" w:rsidRPr="00D44C2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566BBC" w:rsidRPr="00D44C2C">
        <w:rPr>
          <w:rFonts w:ascii="Times New Roman" w:hAnsi="Times New Roman" w:cs="Times New Roman"/>
          <w:sz w:val="24"/>
          <w:szCs w:val="24"/>
        </w:rPr>
        <w:t xml:space="preserve"> és a 311. §</w:t>
      </w:r>
      <w:proofErr w:type="spellStart"/>
      <w:r w:rsidR="00566BBC" w:rsidRPr="00D44C2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66BBC" w:rsidRPr="00D44C2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566BBC" w:rsidRPr="00D44C2C">
        <w:rPr>
          <w:rFonts w:ascii="Times New Roman" w:hAnsi="Times New Roman" w:cs="Times New Roman"/>
          <w:sz w:val="24"/>
          <w:szCs w:val="24"/>
        </w:rPr>
        <w:t xml:space="preserve"> alapján az alábbi</w:t>
      </w:r>
    </w:p>
    <w:p w:rsidR="00D44C2C" w:rsidRPr="00D44C2C" w:rsidRDefault="00D44C2C" w:rsidP="00D44C2C">
      <w:pPr>
        <w:spacing w:after="0" w:line="283" w:lineRule="auto"/>
        <w:jc w:val="both"/>
        <w:rPr>
          <w:rFonts w:ascii="Times New Roman" w:eastAsia="Times New Roman" w:hAnsi="Times New Roman" w:cs="Times New Roman"/>
          <w:color w:val="783F04"/>
          <w:sz w:val="24"/>
          <w:szCs w:val="24"/>
          <w:lang w:eastAsia="hu-HU"/>
        </w:rPr>
      </w:pPr>
    </w:p>
    <w:p w:rsidR="000D4C7D" w:rsidRDefault="00566BBC" w:rsidP="00D44C2C">
      <w:pPr>
        <w:spacing w:after="0" w:line="28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C2C">
        <w:rPr>
          <w:rFonts w:ascii="Times New Roman" w:hAnsi="Times New Roman" w:cs="Times New Roman"/>
          <w:b/>
          <w:sz w:val="24"/>
          <w:szCs w:val="24"/>
        </w:rPr>
        <w:t>javaslatokat</w:t>
      </w:r>
      <w:proofErr w:type="gramEnd"/>
      <w:r w:rsidRPr="00D44C2C">
        <w:rPr>
          <w:rFonts w:ascii="Times New Roman" w:hAnsi="Times New Roman" w:cs="Times New Roman"/>
          <w:b/>
          <w:sz w:val="24"/>
          <w:szCs w:val="24"/>
        </w:rPr>
        <w:t>, észrevételeket</w:t>
      </w:r>
    </w:p>
    <w:p w:rsidR="00D44C2C" w:rsidRPr="00D44C2C" w:rsidRDefault="00D44C2C" w:rsidP="00D44C2C">
      <w:pPr>
        <w:spacing w:after="0" w:line="28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7D" w:rsidRPr="00D44C2C" w:rsidRDefault="00566BBC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C2C">
        <w:rPr>
          <w:rFonts w:ascii="Times New Roman" w:hAnsi="Times New Roman" w:cs="Times New Roman"/>
          <w:sz w:val="24"/>
          <w:szCs w:val="24"/>
        </w:rPr>
        <w:t>terjesztjük</w:t>
      </w:r>
      <w:proofErr w:type="gramEnd"/>
      <w:r w:rsidRPr="00D44C2C">
        <w:rPr>
          <w:rFonts w:ascii="Times New Roman" w:hAnsi="Times New Roman" w:cs="Times New Roman"/>
          <w:sz w:val="24"/>
          <w:szCs w:val="24"/>
        </w:rPr>
        <w:t xml:space="preserve"> elő a </w:t>
      </w:r>
      <w:r w:rsidRPr="00D44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 évi</w:t>
      </w:r>
      <w:r w:rsidRPr="00D44C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D44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hivatásos és rendvédelmi alkalmazott állomány</w:t>
      </w:r>
      <w:r w:rsidR="00D44C2C" w:rsidRPr="00D44C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D44C2C" w:rsidRPr="00D44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tervezett </w:t>
      </w:r>
      <w:r w:rsidRPr="00D44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illetményfejlesztéshez kapcsolódóan.</w:t>
      </w:r>
    </w:p>
    <w:p w:rsidR="00D44C2C" w:rsidRDefault="00D44C2C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7D" w:rsidRPr="00D44C2C" w:rsidRDefault="00566BBC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44C2C">
        <w:rPr>
          <w:rFonts w:ascii="Times New Roman" w:hAnsi="Times New Roman" w:cs="Times New Roman"/>
          <w:sz w:val="24"/>
          <w:szCs w:val="24"/>
        </w:rPr>
        <w:t>Tettrekész</w:t>
      </w:r>
      <w:proofErr w:type="spellEnd"/>
      <w:r w:rsidRPr="00D44C2C">
        <w:rPr>
          <w:rFonts w:ascii="Times New Roman" w:hAnsi="Times New Roman" w:cs="Times New Roman"/>
          <w:sz w:val="24"/>
          <w:szCs w:val="24"/>
        </w:rPr>
        <w:t xml:space="preserve"> M</w:t>
      </w:r>
      <w:r w:rsidR="000D4C7D" w:rsidRPr="00D44C2C">
        <w:rPr>
          <w:rFonts w:ascii="Times New Roman" w:hAnsi="Times New Roman" w:cs="Times New Roman"/>
          <w:sz w:val="24"/>
          <w:szCs w:val="24"/>
        </w:rPr>
        <w:t>agyar Rendőrség Szakszervezete üdvözli az állomány megtartásának szándékával bejelentett rövid időn belül várható illetményrendezést. Ezzel kapcsolatosan á</w:t>
      </w:r>
      <w:r w:rsidR="00D44C2C">
        <w:rPr>
          <w:rFonts w:ascii="Times New Roman" w:hAnsi="Times New Roman" w:cs="Times New Roman"/>
          <w:sz w:val="24"/>
          <w:szCs w:val="24"/>
        </w:rPr>
        <w:t>lláspontunkat</w:t>
      </w:r>
      <w:r w:rsidR="000D4C7D" w:rsidRPr="00D44C2C">
        <w:rPr>
          <w:rFonts w:ascii="Times New Roman" w:hAnsi="Times New Roman" w:cs="Times New Roman"/>
          <w:sz w:val="24"/>
          <w:szCs w:val="24"/>
        </w:rPr>
        <w:t xml:space="preserve"> megfontolásra javasoltként kérjük</w:t>
      </w:r>
      <w:r w:rsidRPr="00D44C2C">
        <w:rPr>
          <w:rFonts w:ascii="Times New Roman" w:hAnsi="Times New Roman" w:cs="Times New Roman"/>
          <w:sz w:val="24"/>
          <w:szCs w:val="24"/>
        </w:rPr>
        <w:t>,</w:t>
      </w:r>
      <w:r w:rsidR="000D4C7D" w:rsidRPr="00D44C2C">
        <w:rPr>
          <w:rFonts w:ascii="Times New Roman" w:hAnsi="Times New Roman" w:cs="Times New Roman"/>
          <w:sz w:val="24"/>
          <w:szCs w:val="24"/>
        </w:rPr>
        <w:t xml:space="preserve"> szíveskedjen a kérdéssel foglalkozó kormányülésen tolmácsolni, mint a Rendőrség egyik emblematikus szakszervezetének a </w:t>
      </w:r>
      <w:proofErr w:type="spellStart"/>
      <w:r w:rsidR="000D4C7D" w:rsidRPr="00D44C2C">
        <w:rPr>
          <w:rFonts w:ascii="Times New Roman" w:hAnsi="Times New Roman" w:cs="Times New Roman"/>
          <w:sz w:val="24"/>
          <w:szCs w:val="24"/>
        </w:rPr>
        <w:t>TMRSZ-nek</w:t>
      </w:r>
      <w:proofErr w:type="spellEnd"/>
      <w:r w:rsidR="000D4C7D" w:rsidRPr="00D44C2C">
        <w:rPr>
          <w:rFonts w:ascii="Times New Roman" w:hAnsi="Times New Roman" w:cs="Times New Roman"/>
          <w:sz w:val="24"/>
          <w:szCs w:val="24"/>
        </w:rPr>
        <w:t xml:space="preserve"> a véleményét.</w:t>
      </w: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 xml:space="preserve">A 2015. július 1-jétől bevezetett új Életpálya modell nem utolsósorban a hazai </w:t>
      </w:r>
      <w:proofErr w:type="gramStart"/>
      <w:r w:rsidRPr="00D44C2C">
        <w:rPr>
          <w:rFonts w:ascii="Times New Roman" w:hAnsi="Times New Roman" w:cs="Times New Roman"/>
          <w:sz w:val="24"/>
          <w:szCs w:val="24"/>
        </w:rPr>
        <w:t>fizetőeszköznek</w:t>
      </w:r>
      <w:proofErr w:type="gramEnd"/>
      <w:r w:rsidRPr="00D44C2C">
        <w:rPr>
          <w:rFonts w:ascii="Times New Roman" w:hAnsi="Times New Roman" w:cs="Times New Roman"/>
          <w:sz w:val="24"/>
          <w:szCs w:val="24"/>
        </w:rPr>
        <w:t xml:space="preserve"> a forintnak az elértéktelenedése miatt azt a helyzetet eredményezte, hogy a 4 évvel ezelőtt eltervezett 50%-os illetményemelés állomány megtartó funkciója nem, vagy alig valósult meg. A rendelkezésünkre álló adatok alapján 24 hónap alatt közel ötezer rendőr </w:t>
      </w:r>
      <w:r w:rsidRPr="00D44C2C">
        <w:rPr>
          <w:rFonts w:ascii="Times New Roman" w:hAnsi="Times New Roman" w:cs="Times New Roman"/>
          <w:sz w:val="24"/>
          <w:szCs w:val="24"/>
        </w:rPr>
        <w:lastRenderedPageBreak/>
        <w:t>szerelt le a testülettől, amelyet az újonnan felszerelők létszáma csak részben tudott kompenzálni.</w:t>
      </w: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7D" w:rsidRPr="003D47C7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A rendőri fizetések elértéktelenedése a piaci fizetések emelkedésével nem volt arányban és ma egy kereskedelmi betanított munka elvégzése anyagilag jobban megbecsült</w:t>
      </w:r>
      <w:r w:rsidR="00D44C2C">
        <w:rPr>
          <w:rFonts w:ascii="Times New Roman" w:hAnsi="Times New Roman" w:cs="Times New Roman"/>
          <w:sz w:val="24"/>
          <w:szCs w:val="24"/>
        </w:rPr>
        <w:t>, mint a</w:t>
      </w:r>
      <w:r w:rsidRPr="00D44C2C">
        <w:rPr>
          <w:rFonts w:ascii="Times New Roman" w:hAnsi="Times New Roman" w:cs="Times New Roman"/>
          <w:sz w:val="24"/>
          <w:szCs w:val="24"/>
        </w:rPr>
        <w:t xml:space="preserve"> rendőri munka. Sürgető és megoldandó kérdés, hogy a rendőri pálya egzisztenciálisan kövesse a piaci kereseti viszonyok változását. </w:t>
      </w:r>
      <w:r w:rsidRPr="003D47C7">
        <w:rPr>
          <w:rFonts w:ascii="Times New Roman" w:hAnsi="Times New Roman" w:cs="Times New Roman"/>
          <w:b/>
          <w:sz w:val="24"/>
          <w:szCs w:val="24"/>
        </w:rPr>
        <w:t>Ennek érdekében a bérek rendezése érdekében javasoljuk megv</w:t>
      </w:r>
      <w:r w:rsidR="00545B47" w:rsidRPr="003D47C7">
        <w:rPr>
          <w:rFonts w:ascii="Times New Roman" w:hAnsi="Times New Roman" w:cs="Times New Roman"/>
          <w:b/>
          <w:sz w:val="24"/>
          <w:szCs w:val="24"/>
        </w:rPr>
        <w:t>izsgálni, hogy a rendvédelmi</w:t>
      </w:r>
      <w:r w:rsidRPr="003D47C7">
        <w:rPr>
          <w:rFonts w:ascii="Times New Roman" w:hAnsi="Times New Roman" w:cs="Times New Roman"/>
          <w:b/>
          <w:sz w:val="24"/>
          <w:szCs w:val="24"/>
        </w:rPr>
        <w:t xml:space="preserve"> illetményalap </w:t>
      </w:r>
      <w:proofErr w:type="gramStart"/>
      <w:r w:rsidRPr="003D47C7">
        <w:rPr>
          <w:rFonts w:ascii="Times New Roman" w:hAnsi="Times New Roman" w:cs="Times New Roman"/>
          <w:b/>
          <w:sz w:val="24"/>
          <w:szCs w:val="24"/>
        </w:rPr>
        <w:t>(</w:t>
      </w:r>
      <w:r w:rsidR="00D44C2C" w:rsidRPr="003D4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C7">
        <w:rPr>
          <w:rFonts w:ascii="Times New Roman" w:hAnsi="Times New Roman" w:cs="Times New Roman"/>
          <w:b/>
          <w:sz w:val="24"/>
          <w:szCs w:val="24"/>
        </w:rPr>
        <w:t>jelenleg</w:t>
      </w:r>
      <w:proofErr w:type="gramEnd"/>
      <w:r w:rsidRPr="003D4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B47" w:rsidRPr="003D47C7">
        <w:rPr>
          <w:rFonts w:ascii="Times New Roman" w:hAnsi="Times New Roman" w:cs="Times New Roman"/>
          <w:b/>
          <w:sz w:val="24"/>
          <w:szCs w:val="24"/>
        </w:rPr>
        <w:t xml:space="preserve">a Magyarország 2020. évi központi költségvetéséről szóló  2019. évi LXXI. törvény 58. § </w:t>
      </w:r>
      <w:proofErr w:type="gramStart"/>
      <w:r w:rsidR="00545B47" w:rsidRPr="003D47C7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="00545B47" w:rsidRPr="003D47C7">
        <w:rPr>
          <w:rFonts w:ascii="Times New Roman" w:hAnsi="Times New Roman" w:cs="Times New Roman"/>
          <w:b/>
          <w:sz w:val="24"/>
          <w:szCs w:val="24"/>
        </w:rPr>
        <w:t xml:space="preserve"> ) bekezdése alapján </w:t>
      </w:r>
      <w:r w:rsidR="00D44C2C" w:rsidRPr="003D47C7">
        <w:rPr>
          <w:rFonts w:ascii="Times New Roman" w:hAnsi="Times New Roman" w:cs="Times New Roman"/>
          <w:b/>
          <w:sz w:val="24"/>
          <w:szCs w:val="24"/>
        </w:rPr>
        <w:t xml:space="preserve">2020-ban is </w:t>
      </w:r>
      <w:r w:rsidRPr="003D47C7">
        <w:rPr>
          <w:rFonts w:ascii="Times New Roman" w:hAnsi="Times New Roman" w:cs="Times New Roman"/>
          <w:b/>
          <w:sz w:val="24"/>
          <w:szCs w:val="24"/>
        </w:rPr>
        <w:t>38.650,</w:t>
      </w:r>
      <w:proofErr w:type="spellStart"/>
      <w:r w:rsidRPr="003D47C7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D44C2C" w:rsidRPr="003D4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C7">
        <w:rPr>
          <w:rFonts w:ascii="Times New Roman" w:hAnsi="Times New Roman" w:cs="Times New Roman"/>
          <w:b/>
          <w:sz w:val="24"/>
          <w:szCs w:val="24"/>
        </w:rPr>
        <w:t xml:space="preserve">) mértékét </w:t>
      </w:r>
      <w:r w:rsidR="00D44C2C" w:rsidRPr="003D47C7">
        <w:rPr>
          <w:rFonts w:ascii="Times New Roman" w:hAnsi="Times New Roman" w:cs="Times New Roman"/>
          <w:b/>
          <w:sz w:val="24"/>
          <w:szCs w:val="24"/>
        </w:rPr>
        <w:t xml:space="preserve">legalább </w:t>
      </w:r>
      <w:r w:rsidRPr="003D47C7">
        <w:rPr>
          <w:rFonts w:ascii="Times New Roman" w:hAnsi="Times New Roman" w:cs="Times New Roman"/>
          <w:b/>
          <w:sz w:val="24"/>
          <w:szCs w:val="24"/>
        </w:rPr>
        <w:t xml:space="preserve">a duplájára </w:t>
      </w:r>
      <w:r w:rsidR="00D44C2C" w:rsidRPr="003D47C7">
        <w:rPr>
          <w:rFonts w:ascii="Times New Roman" w:hAnsi="Times New Roman" w:cs="Times New Roman"/>
          <w:b/>
          <w:sz w:val="24"/>
          <w:szCs w:val="24"/>
        </w:rPr>
        <w:t xml:space="preserve">lenne szükséges </w:t>
      </w:r>
      <w:r w:rsidRPr="003D47C7">
        <w:rPr>
          <w:rFonts w:ascii="Times New Roman" w:hAnsi="Times New Roman" w:cs="Times New Roman"/>
          <w:b/>
          <w:sz w:val="24"/>
          <w:szCs w:val="24"/>
        </w:rPr>
        <w:t>emelni</w:t>
      </w:r>
      <w:r w:rsidR="00D44C2C" w:rsidRPr="003D47C7">
        <w:rPr>
          <w:rFonts w:ascii="Times New Roman" w:hAnsi="Times New Roman" w:cs="Times New Roman"/>
          <w:b/>
          <w:sz w:val="24"/>
          <w:szCs w:val="24"/>
        </w:rPr>
        <w:t>, azaz legalább 77.300 forintnak kellene lennie a mértékének</w:t>
      </w:r>
      <w:r w:rsidRPr="003D47C7">
        <w:rPr>
          <w:rFonts w:ascii="Times New Roman" w:hAnsi="Times New Roman" w:cs="Times New Roman"/>
          <w:b/>
          <w:sz w:val="24"/>
          <w:szCs w:val="24"/>
        </w:rPr>
        <w:t xml:space="preserve"> 2020. január 1-jétől.</w:t>
      </w:r>
      <w:r w:rsidR="003D47C7">
        <w:rPr>
          <w:rFonts w:ascii="Times New Roman" w:hAnsi="Times New Roman" w:cs="Times New Roman"/>
          <w:b/>
          <w:sz w:val="24"/>
          <w:szCs w:val="24"/>
        </w:rPr>
        <w:t xml:space="preserve"> Lényegesnek tartjuk azt is, hogy korlátozás ne társuljon hozzá, </w:t>
      </w:r>
      <w:proofErr w:type="gramStart"/>
      <w:r w:rsidR="003D47C7">
        <w:rPr>
          <w:rFonts w:ascii="Times New Roman" w:hAnsi="Times New Roman" w:cs="Times New Roman"/>
          <w:b/>
          <w:sz w:val="24"/>
          <w:szCs w:val="24"/>
        </w:rPr>
        <w:t>úgy</w:t>
      </w:r>
      <w:proofErr w:type="gramEnd"/>
      <w:r w:rsidR="003D47C7">
        <w:rPr>
          <w:rFonts w:ascii="Times New Roman" w:hAnsi="Times New Roman" w:cs="Times New Roman"/>
          <w:b/>
          <w:sz w:val="24"/>
          <w:szCs w:val="24"/>
        </w:rPr>
        <w:t xml:space="preserve"> mint az Életpálya-modell illetményemelésénél, hogy aki hamarabb elérte a beosztási illetmény mértékét, az szinte alig részesült illetményemelésben.</w:t>
      </w: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 xml:space="preserve">Természetesen fontos hangsúlyozni azt, hogy a jelenlegi illetményrendszer modell aránytalanul torzított a végrehajtói állományra nézve hátrányosan, így a köznapi szóval utcai rendőrök </w:t>
      </w:r>
      <w:r w:rsidR="003D47C7">
        <w:rPr>
          <w:rFonts w:ascii="Times New Roman" w:hAnsi="Times New Roman" w:cs="Times New Roman"/>
          <w:sz w:val="24"/>
          <w:szCs w:val="24"/>
        </w:rPr>
        <w:t xml:space="preserve">számos </w:t>
      </w:r>
      <w:r w:rsidRPr="00D44C2C">
        <w:rPr>
          <w:rFonts w:ascii="Times New Roman" w:hAnsi="Times New Roman" w:cs="Times New Roman"/>
          <w:sz w:val="24"/>
          <w:szCs w:val="24"/>
        </w:rPr>
        <w:t>áthelyezési kérelme is indokolja a rendszeren belüli aránytalanságok tompítását. Amikor a rendvédelmi illetményalap jelentős mértékű megemelésének szándéka körvonalazódik, azt úgy tartjuk megfontolásra alkalmas felülvizsgálandó kérdésnek tartani, hogy a rendszeren belüli fizetési aránytalanságok jelentősen mérséklődjenek. Ennek metodikája lehet akár a szorzószámok bizonyos beosztási kategóriákban való módosítása, akár a hivatásos pótlék mértékével való kompenzálás egyaránt.</w:t>
      </w:r>
      <w:r w:rsidR="00D7001A">
        <w:rPr>
          <w:rFonts w:ascii="Times New Roman" w:hAnsi="Times New Roman" w:cs="Times New Roman"/>
          <w:sz w:val="24"/>
          <w:szCs w:val="24"/>
        </w:rPr>
        <w:t xml:space="preserve"> A hivatásos pótlék mértékének legalább 50 %-os növelését is javasoljuk a rendvédelmi illetményalap megemeléséhez kapcsolódóan</w:t>
      </w:r>
      <w:r w:rsidR="00274F91">
        <w:rPr>
          <w:rFonts w:ascii="Times New Roman" w:hAnsi="Times New Roman" w:cs="Times New Roman"/>
          <w:sz w:val="24"/>
          <w:szCs w:val="24"/>
        </w:rPr>
        <w:t xml:space="preserve">, mivel </w:t>
      </w:r>
      <w:proofErr w:type="gramStart"/>
      <w:r w:rsidR="00274F91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74F91">
        <w:rPr>
          <w:rFonts w:ascii="Times New Roman" w:hAnsi="Times New Roman" w:cs="Times New Roman"/>
          <w:sz w:val="24"/>
          <w:szCs w:val="24"/>
        </w:rPr>
        <w:t xml:space="preserve"> pótlék a magasabb elvárások teljesítését is kompenzálja, viszont jelenlegi mértéke nem igazodik az elvárt és elvégzett munka súlyához.</w:t>
      </w: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Nem tartjuk hosszabb távon fenntarthatónak a besorolási kategóriák szorzószámai közötti ugrásszerű, kis túlzással „szakadéknyi” távolságokat, hiszen semmi nem indokolja, hogy egy kezdő rendőr szorzója – ”A” besorolási kategória 4,7-es szorzóval, illetve egy „D”</w:t>
      </w:r>
      <w:proofErr w:type="spellStart"/>
      <w:r w:rsidRPr="00D44C2C">
        <w:rPr>
          <w:rFonts w:ascii="Times New Roman" w:hAnsi="Times New Roman" w:cs="Times New Roman"/>
          <w:sz w:val="24"/>
          <w:szCs w:val="24"/>
        </w:rPr>
        <w:t>-s</w:t>
      </w:r>
      <w:proofErr w:type="spellEnd"/>
      <w:r w:rsidRPr="00D44C2C">
        <w:rPr>
          <w:rFonts w:ascii="Times New Roman" w:hAnsi="Times New Roman" w:cs="Times New Roman"/>
          <w:sz w:val="24"/>
          <w:szCs w:val="24"/>
        </w:rPr>
        <w:t xml:space="preserve"> kategória 7,1-es szorzóval – és egy magasabb beosztás szorzója ekkora mértékű különbséget jelentsen. Gyakorlati tapasztalatok mutatják, hogy egy „</w:t>
      </w:r>
      <w:proofErr w:type="gramStart"/>
      <w:r w:rsidRPr="00D44C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4C2C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D44C2C">
        <w:rPr>
          <w:rFonts w:ascii="Times New Roman" w:hAnsi="Times New Roman" w:cs="Times New Roman"/>
          <w:sz w:val="24"/>
          <w:szCs w:val="24"/>
        </w:rPr>
        <w:t>-s</w:t>
      </w:r>
      <w:proofErr w:type="spellEnd"/>
      <w:r w:rsidRPr="00D44C2C">
        <w:rPr>
          <w:rFonts w:ascii="Times New Roman" w:hAnsi="Times New Roman" w:cs="Times New Roman"/>
          <w:sz w:val="24"/>
          <w:szCs w:val="24"/>
        </w:rPr>
        <w:t xml:space="preserve"> besorolású rendőrrel következetesen és folyamatosan végeztetnek el munkáltatóik „D” besorolási kategóriába tartozó munkát akár megbízási díj megfizetésével, de jellemzően inkább annak megfizetése elmaradásával. Álláspontunk szerint amennyiben a kezdő rendőr fizetését közelítenék a magasabb beosztású</w:t>
      </w:r>
      <w:r w:rsidR="00110A07">
        <w:rPr>
          <w:rFonts w:ascii="Times New Roman" w:hAnsi="Times New Roman" w:cs="Times New Roman"/>
          <w:sz w:val="24"/>
          <w:szCs w:val="24"/>
        </w:rPr>
        <w:t>,</w:t>
      </w:r>
      <w:r w:rsidRPr="00D44C2C">
        <w:rPr>
          <w:rFonts w:ascii="Times New Roman" w:hAnsi="Times New Roman" w:cs="Times New Roman"/>
          <w:sz w:val="24"/>
          <w:szCs w:val="24"/>
        </w:rPr>
        <w:t xml:space="preserve"> de szintén közterületi rendőri munkát végző rendőri fizetésekhez – amellett, hogy a magasabb beosztású közterületi rendőri munka javadalmazása is érzékelhetően megemelkedne – az is hozzájárulna az állomány megtartásához.</w:t>
      </w: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7D" w:rsidRPr="00110A07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 xml:space="preserve">Figyelembe kell venni ennek során </w:t>
      </w:r>
      <w:r w:rsidR="00110A07">
        <w:rPr>
          <w:rFonts w:ascii="Times New Roman" w:hAnsi="Times New Roman" w:cs="Times New Roman"/>
          <w:sz w:val="24"/>
          <w:szCs w:val="24"/>
        </w:rPr>
        <w:t xml:space="preserve">véleményünk szerint </w:t>
      </w:r>
      <w:r w:rsidRPr="00D44C2C">
        <w:rPr>
          <w:rFonts w:ascii="Times New Roman" w:hAnsi="Times New Roman" w:cs="Times New Roman"/>
          <w:sz w:val="24"/>
          <w:szCs w:val="24"/>
        </w:rPr>
        <w:t>azt is, hogy a rendvédelmi munka mellett végezhető másodállás végezhetősége bejelentéshez, engedélyezéshez kötött, amely sok esetben szintén okoz nehézségeket a pálya megtartó erejét tekintve, figyelembe véve, hogy sok esetben a másodállás mellett végezhető munka anyagilag is sokkal kedvezőbb</w:t>
      </w:r>
      <w:r w:rsidR="00110A07">
        <w:rPr>
          <w:rFonts w:ascii="Times New Roman" w:hAnsi="Times New Roman" w:cs="Times New Roman"/>
          <w:sz w:val="24"/>
          <w:szCs w:val="24"/>
        </w:rPr>
        <w:t>,</w:t>
      </w:r>
      <w:r w:rsidRPr="00D44C2C">
        <w:rPr>
          <w:rFonts w:ascii="Times New Roman" w:hAnsi="Times New Roman" w:cs="Times New Roman"/>
          <w:sz w:val="24"/>
          <w:szCs w:val="24"/>
        </w:rPr>
        <w:t xml:space="preserve"> és ha </w:t>
      </w:r>
      <w:r w:rsidRPr="00D44C2C">
        <w:rPr>
          <w:rFonts w:ascii="Times New Roman" w:hAnsi="Times New Roman" w:cs="Times New Roman"/>
          <w:sz w:val="24"/>
          <w:szCs w:val="24"/>
        </w:rPr>
        <w:lastRenderedPageBreak/>
        <w:t>a dolgozónak egyiket fel kell adnia, akkor nem a rendőri pályán marad, hanem a másodállásból lesz a főállás. Ismereteink szerint szabadidejükben számos rendőr részére folyamatban van egy olyan polgári szakma tanulmányainak az elvégzése, amelynek bekövetkeztekor borítékolható a pályaelhagyás a jelenlegi rendőri jövedelmi viszonyok mellett. Ismereteink szerint volt olyan hét</w:t>
      </w:r>
      <w:r w:rsidR="00110A07">
        <w:rPr>
          <w:rFonts w:ascii="Times New Roman" w:hAnsi="Times New Roman" w:cs="Times New Roman"/>
          <w:sz w:val="24"/>
          <w:szCs w:val="24"/>
        </w:rPr>
        <w:t>,</w:t>
      </w:r>
      <w:r w:rsidRPr="00D44C2C">
        <w:rPr>
          <w:rFonts w:ascii="Times New Roman" w:hAnsi="Times New Roman" w:cs="Times New Roman"/>
          <w:sz w:val="24"/>
          <w:szCs w:val="24"/>
        </w:rPr>
        <w:t xml:space="preserve"> amikor egyszerre többen jelentették be a leszerelésüket az egyik rendőri szervnél, amikor sikerült megszerezni egy OKJ-s klímaszerelő szaktanfolyam képesítését. </w:t>
      </w:r>
      <w:r w:rsidRPr="00110A07">
        <w:rPr>
          <w:rFonts w:ascii="Times New Roman" w:hAnsi="Times New Roman" w:cs="Times New Roman"/>
          <w:b/>
          <w:sz w:val="24"/>
          <w:szCs w:val="24"/>
        </w:rPr>
        <w:t xml:space="preserve">Tehát amennyiben valóban </w:t>
      </w:r>
      <w:r w:rsidR="00110A07">
        <w:rPr>
          <w:rFonts w:ascii="Times New Roman" w:hAnsi="Times New Roman" w:cs="Times New Roman"/>
          <w:b/>
          <w:sz w:val="24"/>
          <w:szCs w:val="24"/>
        </w:rPr>
        <w:t xml:space="preserve">az állomány tényleges </w:t>
      </w:r>
      <w:r w:rsidRPr="00110A07">
        <w:rPr>
          <w:rFonts w:ascii="Times New Roman" w:hAnsi="Times New Roman" w:cs="Times New Roman"/>
          <w:b/>
          <w:sz w:val="24"/>
          <w:szCs w:val="24"/>
        </w:rPr>
        <w:t>megtartás</w:t>
      </w:r>
      <w:r w:rsidR="00110A07">
        <w:rPr>
          <w:rFonts w:ascii="Times New Roman" w:hAnsi="Times New Roman" w:cs="Times New Roman"/>
          <w:b/>
          <w:sz w:val="24"/>
          <w:szCs w:val="24"/>
        </w:rPr>
        <w:t>á</w:t>
      </w:r>
      <w:r w:rsidRPr="00110A07">
        <w:rPr>
          <w:rFonts w:ascii="Times New Roman" w:hAnsi="Times New Roman" w:cs="Times New Roman"/>
          <w:b/>
          <w:sz w:val="24"/>
          <w:szCs w:val="24"/>
        </w:rPr>
        <w:t>ra kerülő intézkedések meghozatalát fontolgatja a kormányzat azt mielőb</w:t>
      </w:r>
      <w:r w:rsidR="00D7001A">
        <w:rPr>
          <w:rFonts w:ascii="Times New Roman" w:hAnsi="Times New Roman" w:cs="Times New Roman"/>
          <w:b/>
          <w:sz w:val="24"/>
          <w:szCs w:val="24"/>
        </w:rPr>
        <w:t>b, soron kívül indokolt megtenni, mivel ismereteink szerint a pályaelhagyást sokan a 2020. évi illetményrendezéstől teszik függővé</w:t>
      </w:r>
      <w:r w:rsidRPr="00110A07">
        <w:rPr>
          <w:rFonts w:ascii="Times New Roman" w:hAnsi="Times New Roman" w:cs="Times New Roman"/>
          <w:b/>
          <w:sz w:val="24"/>
          <w:szCs w:val="24"/>
        </w:rPr>
        <w:t>.</w:t>
      </w: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FC0" w:rsidRPr="00110A07" w:rsidRDefault="00110A07" w:rsidP="00D44C2C">
      <w:pPr>
        <w:spacing w:after="0"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A07">
        <w:rPr>
          <w:rFonts w:ascii="Times New Roman" w:hAnsi="Times New Roman" w:cs="Times New Roman"/>
          <w:sz w:val="24"/>
          <w:szCs w:val="24"/>
        </w:rPr>
        <w:t xml:space="preserve">Az illetményrendezéssel kapcsolatban kérjük, legyenek figyelemmel arra is, hogy a </w:t>
      </w:r>
      <w:proofErr w:type="spellStart"/>
      <w:r w:rsidRPr="00110A07">
        <w:rPr>
          <w:rFonts w:ascii="Times New Roman" w:hAnsi="Times New Roman" w:cs="Times New Roman"/>
          <w:sz w:val="24"/>
          <w:szCs w:val="24"/>
        </w:rPr>
        <w:t>Hszt-ben</w:t>
      </w:r>
      <w:proofErr w:type="spellEnd"/>
      <w:r w:rsidRPr="00110A07">
        <w:rPr>
          <w:rFonts w:ascii="Times New Roman" w:hAnsi="Times New Roman" w:cs="Times New Roman"/>
          <w:sz w:val="24"/>
          <w:szCs w:val="24"/>
        </w:rPr>
        <w:t xml:space="preserve"> 2015 óta szereplő p</w:t>
      </w:r>
      <w:r w:rsidR="00AB3FC0" w:rsidRPr="00110A07">
        <w:rPr>
          <w:rFonts w:ascii="Times New Roman" w:hAnsi="Times New Roman" w:cs="Times New Roman"/>
          <w:sz w:val="24"/>
          <w:szCs w:val="24"/>
        </w:rPr>
        <w:t>referált településen szolgálatot teljesítők</w:t>
      </w:r>
      <w:r>
        <w:rPr>
          <w:rFonts w:ascii="Times New Roman" w:hAnsi="Times New Roman" w:cs="Times New Roman"/>
          <w:sz w:val="24"/>
          <w:szCs w:val="24"/>
        </w:rPr>
        <w:t xml:space="preserve"> pótléka mindösszesen a törvényszövegben szerepel, az gyakorlatban nincs, holott szükséges lenne kompenzálni a rosszabb körülmények között, bűnügyileg fertőzöttebb körzetekben szolgálatot teljesítők munkáját. </w:t>
      </w:r>
      <w:r w:rsidRPr="00110A07">
        <w:rPr>
          <w:rFonts w:ascii="Times New Roman" w:hAnsi="Times New Roman" w:cs="Times New Roman"/>
          <w:b/>
          <w:sz w:val="24"/>
          <w:szCs w:val="24"/>
        </w:rPr>
        <w:t>Azaz az illetményrendezéshez kapcsolódva javasoljuk a pótlék tényleges megfizetéséhez szükséges intézkedések megtételét is.</w:t>
      </w:r>
    </w:p>
    <w:p w:rsidR="00AB3FC0" w:rsidRPr="00D44C2C" w:rsidRDefault="00AB3FC0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 xml:space="preserve">Fontos és neuralgikus területnek minősül a kifogástalan életvitel ellenőrzés és a megbízhatósági vizsgálatok metodikájának egyértelműsítése is. Megfontolásra javasoljuk az aktív „provokációk” mint legális eszköztár alkalmazásának megtiltását, továbbá a jelenlegi rendszerben a családtagokra kiterjesztett operatív adatgyűjtés is joggal érintheti érzékenyen az érintett munkavállalót. Azt pedig egyenesen javasoljuk, hogy ha egy kifogásolható </w:t>
      </w:r>
      <w:proofErr w:type="spellStart"/>
      <w:r w:rsidRPr="00D44C2C">
        <w:rPr>
          <w:rFonts w:ascii="Times New Roman" w:hAnsi="Times New Roman" w:cs="Times New Roman"/>
          <w:sz w:val="24"/>
          <w:szCs w:val="24"/>
        </w:rPr>
        <w:t>életvitel-beli</w:t>
      </w:r>
      <w:proofErr w:type="spellEnd"/>
      <w:r w:rsidRPr="00D44C2C">
        <w:rPr>
          <w:rFonts w:ascii="Times New Roman" w:hAnsi="Times New Roman" w:cs="Times New Roman"/>
          <w:sz w:val="24"/>
          <w:szCs w:val="24"/>
        </w:rPr>
        <w:t xml:space="preserve"> megállapítást tesz az arra hatáskörrel rendelkező szerv, akkor ne csupán annyit közöljenek az érintett dolgozóval, hogy „Kifogásolható az életviteled!” </w:t>
      </w:r>
      <w:proofErr w:type="gramStart"/>
      <w:r w:rsidRPr="00D44C2C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D44C2C">
        <w:rPr>
          <w:rFonts w:ascii="Times New Roman" w:hAnsi="Times New Roman" w:cs="Times New Roman"/>
          <w:sz w:val="24"/>
          <w:szCs w:val="24"/>
        </w:rPr>
        <w:t xml:space="preserve"> pont, hanem érdemben közölje is a munkáltató azt a körülményt, amely miatt a szolgálati viszony fenntartása ezért és ezért nem megengedett. Ugyanis jelen helyzetben a munkavállaló homlokára süt egy bélyeget a munkáltató, hivatkozva egy operatív eljárás eredményeként a munkáltató, de azt már nem mondja meg részére, hogy mi a megállapítás tartalma. Ennek felülvizsgálata az előttünk ismertté vált gyakorlati esetek alapján indokolt.</w:t>
      </w:r>
    </w:p>
    <w:p w:rsidR="000D4C7D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A07" w:rsidRDefault="00110A07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kívánunk térni e körben a teljesítményértékelés jelenlegi rendszerére is, mely szintén az illetményrendezéshez is kapcsolódik. </w:t>
      </w:r>
      <w:proofErr w:type="gramStart"/>
      <w:r>
        <w:rPr>
          <w:rFonts w:ascii="Times New Roman" w:hAnsi="Times New Roman" w:cs="Times New Roman"/>
          <w:sz w:val="24"/>
          <w:szCs w:val="24"/>
        </w:rPr>
        <w:t>Gyakorlati tapasztalat</w:t>
      </w:r>
      <w:r w:rsidR="00CA755F">
        <w:rPr>
          <w:rFonts w:ascii="Times New Roman" w:hAnsi="Times New Roman" w:cs="Times New Roman"/>
          <w:sz w:val="24"/>
          <w:szCs w:val="24"/>
        </w:rPr>
        <w:t xml:space="preserve">ok, bírósági peres eljárások támasztják alá, hogy a teljesítményértékelési rendszer számos hibával rendelkezik, amit súlyosít az is, hogy a hozzá kapcsolódó </w:t>
      </w:r>
      <w:proofErr w:type="spellStart"/>
      <w:r w:rsidR="00CA755F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="00CA755F">
        <w:rPr>
          <w:rFonts w:ascii="Times New Roman" w:hAnsi="Times New Roman" w:cs="Times New Roman"/>
          <w:sz w:val="24"/>
          <w:szCs w:val="24"/>
        </w:rPr>
        <w:t xml:space="preserve"> juttatás összege szervenként behatárolt, így számos esetben nem a tényleges magas teljesítmény alapján kerültek meghatározásra a juttatások információink szerint, hanem a keretösszeghez mérték a jó értékelések számát, s nem minden valósan magas teljesítményt nyújtó munkavállaló részesülhetett a plusz juttatásban, ami ismereteink szerint szintén hozzájárul a pályaelhagyásokhoz, a megbecsülés hiányának érzetéhez.</w:t>
      </w:r>
      <w:proofErr w:type="gramEnd"/>
    </w:p>
    <w:p w:rsidR="00CA755F" w:rsidRDefault="00CA755F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5F" w:rsidRDefault="00CA755F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b/>
          <w:sz w:val="24"/>
          <w:szCs w:val="24"/>
        </w:rPr>
        <w:t>Az illetményrendezés kapcsán ki kívánunk térni a rendvédelmi igazgatási alkalmazottak illetmény-meghatározásánál, besorolásánál már kiderült problémákra</w:t>
      </w:r>
      <w:r>
        <w:rPr>
          <w:rFonts w:ascii="Times New Roman" w:hAnsi="Times New Roman" w:cs="Times New Roman"/>
          <w:sz w:val="24"/>
          <w:szCs w:val="24"/>
        </w:rPr>
        <w:t xml:space="preserve">, nevezetesen arra,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hogy – hivatkozva arra, hogy a szervhez kapcsolódó állománytáblában nincs tervezve a feladatellátáshoz kapcsolódó magasabb beosztás – számos beosztás esetében </w:t>
      </w:r>
      <w:proofErr w:type="gramStart"/>
      <w:r>
        <w:rPr>
          <w:rFonts w:ascii="Times New Roman" w:hAnsi="Times New Roman" w:cs="Times New Roman"/>
          <w:sz w:val="24"/>
          <w:szCs w:val="24"/>
        </w:rPr>
        <w:t>( pl.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ügykezelők) az alacsonyabb besorolású munkakörbe sorolták a munkavállalókat, s a munkaköri leírásokba beszerkesztették, hogy kötelesek ellátni akár több, más beosztáshoz tartozó feladatot is az alacsonyabb illetményért. Ennek rendezése is sürgető lenne a – főleg több évtizedes tapasztalattal rendelkező </w:t>
      </w:r>
      <w:r w:rsidR="00D7001A">
        <w:rPr>
          <w:rFonts w:ascii="Times New Roman" w:hAnsi="Times New Roman" w:cs="Times New Roman"/>
          <w:sz w:val="24"/>
          <w:szCs w:val="24"/>
        </w:rPr>
        <w:t>– munkavállalók megtartása érdekében. A „</w:t>
      </w:r>
      <w:proofErr w:type="spellStart"/>
      <w:r w:rsidR="00D7001A">
        <w:rPr>
          <w:rFonts w:ascii="Times New Roman" w:hAnsi="Times New Roman" w:cs="Times New Roman"/>
          <w:sz w:val="24"/>
          <w:szCs w:val="24"/>
        </w:rPr>
        <w:t>riasz</w:t>
      </w:r>
      <w:proofErr w:type="spellEnd"/>
      <w:r w:rsidR="00D7001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D7001A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="00D7001A">
        <w:rPr>
          <w:rFonts w:ascii="Times New Roman" w:hAnsi="Times New Roman" w:cs="Times New Roman"/>
          <w:sz w:val="24"/>
          <w:szCs w:val="24"/>
        </w:rPr>
        <w:t xml:space="preserve"> kapcsolódóan szükséges kitérni azon dolgozók illetményére is, akik közalkalmazottakból egyszerű munkavállalókká váltak, s az illetménybeli kompenzációjuk 2019. február 1-jétől nem valósult meg.</w:t>
      </w:r>
    </w:p>
    <w:p w:rsidR="00D7001A" w:rsidRPr="00D44C2C" w:rsidRDefault="00D7001A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1A">
        <w:rPr>
          <w:rFonts w:ascii="Times New Roman" w:hAnsi="Times New Roman" w:cs="Times New Roman"/>
          <w:b/>
          <w:sz w:val="24"/>
          <w:szCs w:val="24"/>
        </w:rPr>
        <w:t>Javasoljuk, hogy mind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1A">
        <w:rPr>
          <w:rFonts w:ascii="Times New Roman" w:hAnsi="Times New Roman" w:cs="Times New Roman"/>
          <w:b/>
          <w:sz w:val="24"/>
          <w:szCs w:val="24"/>
        </w:rPr>
        <w:t>rendvédelmi igazgatási alkalmazottak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ez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megoldható lenne álláspontunk szerint az illetményalap kellő mértékű megemelésével ) , mind az MT.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hatálya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 dolgozók esetében is ténylegesen, érezhető illetményemelés valósuljon meg.</w:t>
      </w:r>
    </w:p>
    <w:p w:rsidR="00D7001A" w:rsidRDefault="00D7001A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Fontos és neuralgikus területnek minősül a kártérítési eljárások jelenlegi rendszerének felülvizsgálata is, elsősorban a munkavállalói kiszolgáltatottság és kész tények elé állítása tárgykörében. Egészen elképesztő esetekkel találkoztunk, amikor olyan javítási számlákat terhelnek a munkavállalókra a munkáltatók, amikor nem csupán a javítás indokoltsága, de az elvégzett javítás megtörténte is megkérdőjelezhető mind tényét, mind összegét tekintve. A jelenlegi rendszerben egyébként a fegyelmi vétség hiányában történt károkozás esetén egyértelműen indokolt a kártérítési kötelezettség alól is mentesíteni a dolgozót, hiszen a jogalkalmazói gyakorlat egyrészt eltérő, másrészt a jelenlegi szabályozás nem is egyértelmű. A munkavégzés sajátja a „selejt” termék képződése, így például egy munkavégzés közbeni sérülés egy anyagi-technikai eszközben (például szolgálati járműben jellemzően) nem okvetlenül kellene, hogy kártérítési eljárást is vonjon maga után.</w:t>
      </w: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A07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7">
        <w:rPr>
          <w:rFonts w:ascii="Times New Roman" w:hAnsi="Times New Roman" w:cs="Times New Roman"/>
          <w:b/>
          <w:sz w:val="24"/>
          <w:szCs w:val="24"/>
        </w:rPr>
        <w:t>Legfontosabb és legneuralgikusabb kérdéskör viszont annak a járandóságnak, kedvezménynek a megszüntetése, amely álláspontunk szerint a legfontosabb szegmense a rendőri hivatás presztízse megszűnésének</w:t>
      </w:r>
      <w:r w:rsidR="00D7001A">
        <w:rPr>
          <w:rFonts w:ascii="Times New Roman" w:hAnsi="Times New Roman" w:cs="Times New Roman"/>
          <w:b/>
          <w:sz w:val="24"/>
          <w:szCs w:val="24"/>
        </w:rPr>
        <w:t>, a pályamegtartó erő – álláspontunk szerint – drasztikus csökkenésének.</w:t>
      </w:r>
      <w:r w:rsidRPr="00D44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 xml:space="preserve">A világ legtöbb országában a rendvédelmi pálya megtartó erejét a különböző nyugdíjba vonulási kedvezmények jelentik, amelynek rendszerét 2012. január 1-jétől törvényalkotással, „egy tollvonással” és egyoldalúan megszüntette az állam. Álláspontunk szerint a korkedvezményes nyugdíjrendszer, azaz a szolgálati nyugdíjba vonulás lehetőségének a visszaállítása elengedhetetlen ahhoz, hogy a rendvédelmi pálya presztízse vonzó alternatívát jelentsen a jövő rendészeti szakemberei számára. Az alkotmányos és emberi jogok sorának lényeges korlátozását nem lehet csupán pénzzel kompenzálni, kell egy olyan rendszer elem is, amely évtizedekig jól, vagy </w:t>
      </w:r>
      <w:proofErr w:type="gramStart"/>
      <w:r w:rsidRPr="00D44C2C">
        <w:rPr>
          <w:rFonts w:ascii="Times New Roman" w:hAnsi="Times New Roman" w:cs="Times New Roman"/>
          <w:sz w:val="24"/>
          <w:szCs w:val="24"/>
        </w:rPr>
        <w:t>kevésbé</w:t>
      </w:r>
      <w:proofErr w:type="gramEnd"/>
      <w:r w:rsidRPr="00D44C2C">
        <w:rPr>
          <w:rFonts w:ascii="Times New Roman" w:hAnsi="Times New Roman" w:cs="Times New Roman"/>
          <w:sz w:val="24"/>
          <w:szCs w:val="24"/>
        </w:rPr>
        <w:t xml:space="preserve"> jól de működött és a rendvédelmi pálya legerősebb megtartó eleme volt meglátásunk szerint. A világ nagyon sok államában 20-25 év tényleges szolgálat után szolgálati nyugdíjra lehet jogosultságot szerezni és ez része volt a 2012. előtti magyar rendszernek is. Javasoljuk a felülvizsgálatát annak, hogy a rendvédelmi pályát választók részére ez a jogosultság reaktiválásra kerüljön és azt, hogy a 2012. január 1-jét megelőzően szolgálati viszonyt létesítők vonatkozásában a régi szabályok szerinti szolgálati nyugdíjba vonulás szabályai visszaállításra kerüljenek, illetve szakszervezetként fontosnak </w:t>
      </w:r>
      <w:r w:rsidRPr="00D44C2C">
        <w:rPr>
          <w:rFonts w:ascii="Times New Roman" w:hAnsi="Times New Roman" w:cs="Times New Roman"/>
          <w:sz w:val="24"/>
          <w:szCs w:val="24"/>
        </w:rPr>
        <w:lastRenderedPageBreak/>
        <w:t>tartjuk a 2011. december 31-ig szolgálati nyugdíjra jogosultságot szerzők jogainak visszaállítását is.</w:t>
      </w:r>
    </w:p>
    <w:p w:rsidR="000D4C7D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1A" w:rsidRDefault="00D7001A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Tisztelt Belügyminiszter Urat, a fentiekben előadott javaslatainkat, észrevételeinket a döntéshozás során megfontolni szíveskedjen.</w:t>
      </w:r>
    </w:p>
    <w:p w:rsidR="00D7001A" w:rsidRPr="00D44C2C" w:rsidRDefault="00D7001A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7D" w:rsidRPr="00D44C2C" w:rsidRDefault="000D4C7D" w:rsidP="00D44C2C">
      <w:pPr>
        <w:pStyle w:val="NormlWeb"/>
        <w:spacing w:before="0" w:beforeAutospacing="0" w:after="0" w:afterAutospacing="0" w:line="283" w:lineRule="auto"/>
        <w:jc w:val="both"/>
        <w:rPr>
          <w:i/>
        </w:rPr>
      </w:pPr>
      <w:r w:rsidRPr="00D44C2C">
        <w:rPr>
          <w:i/>
        </w:rPr>
        <w:t xml:space="preserve">Tisztelettel kérem Belügyminiszter Urat, hogy </w:t>
      </w:r>
      <w:r w:rsidR="00D7001A">
        <w:rPr>
          <w:i/>
        </w:rPr>
        <w:t xml:space="preserve">az illetményrendezéssel kapcsolatos tervezetekről, illetve döntésekről </w:t>
      </w:r>
      <w:r w:rsidRPr="00D44C2C">
        <w:rPr>
          <w:i/>
        </w:rPr>
        <w:t xml:space="preserve">szervezetünket tájékoztatni szíveskedjen. </w:t>
      </w:r>
    </w:p>
    <w:p w:rsidR="000D4C7D" w:rsidRPr="00D44C2C" w:rsidRDefault="000D4C7D" w:rsidP="00D44C2C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C2C" w:rsidRDefault="00D44C2C" w:rsidP="00D44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Együttműködés</w:t>
      </w:r>
      <w:r w:rsidR="002F4BA0">
        <w:rPr>
          <w:rFonts w:ascii="Times New Roman" w:hAnsi="Times New Roman" w:cs="Times New Roman"/>
          <w:sz w:val="24"/>
          <w:szCs w:val="24"/>
        </w:rPr>
        <w:t>ében bízva</w:t>
      </w:r>
      <w:r w:rsidRPr="00D44C2C">
        <w:rPr>
          <w:rFonts w:ascii="Times New Roman" w:hAnsi="Times New Roman" w:cs="Times New Roman"/>
          <w:sz w:val="24"/>
          <w:szCs w:val="24"/>
        </w:rPr>
        <w:t>,</w:t>
      </w:r>
    </w:p>
    <w:p w:rsidR="00D7001A" w:rsidRPr="00D44C2C" w:rsidRDefault="00D7001A" w:rsidP="00D44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C7D" w:rsidRPr="00D44C2C" w:rsidRDefault="00D44C2C" w:rsidP="002F4BA0">
      <w:pPr>
        <w:pStyle w:val="NormlWeb"/>
        <w:spacing w:before="0" w:beforeAutospacing="0" w:after="0" w:afterAutospacing="0" w:line="283" w:lineRule="auto"/>
        <w:ind w:left="147" w:right="147"/>
        <w:jc w:val="right"/>
      </w:pPr>
      <w:proofErr w:type="gramStart"/>
      <w:r w:rsidRPr="00D44C2C">
        <w:t>t</w:t>
      </w:r>
      <w:r w:rsidR="000D4C7D" w:rsidRPr="00D44C2C">
        <w:t>isztelettel</w:t>
      </w:r>
      <w:proofErr w:type="gramEnd"/>
      <w:r w:rsidR="000D4C7D" w:rsidRPr="00D44C2C">
        <w:t>:</w:t>
      </w:r>
    </w:p>
    <w:p w:rsidR="000D4C7D" w:rsidRPr="00D44C2C" w:rsidRDefault="000D4C7D" w:rsidP="00D44C2C">
      <w:pPr>
        <w:pStyle w:val="NormlWeb"/>
        <w:spacing w:before="0" w:beforeAutospacing="0" w:after="0" w:afterAutospacing="0" w:line="283" w:lineRule="auto"/>
        <w:ind w:left="150" w:right="150"/>
        <w:jc w:val="both"/>
      </w:pPr>
    </w:p>
    <w:p w:rsidR="000D4C7D" w:rsidRPr="00D44C2C" w:rsidRDefault="000D4C7D" w:rsidP="00D44C2C">
      <w:pPr>
        <w:pStyle w:val="NormlWeb"/>
        <w:spacing w:before="0" w:beforeAutospacing="0" w:after="0" w:afterAutospacing="0" w:line="283" w:lineRule="auto"/>
        <w:ind w:left="150" w:right="150"/>
        <w:jc w:val="both"/>
      </w:pPr>
      <w:r w:rsidRPr="00D44C2C">
        <w:t>Szekszárd, 2019</w:t>
      </w:r>
      <w:r w:rsidR="00D44C2C" w:rsidRPr="00D44C2C">
        <w:t>. dec</w:t>
      </w:r>
      <w:r w:rsidRPr="00D44C2C">
        <w:t>ember 5.</w:t>
      </w:r>
    </w:p>
    <w:p w:rsidR="000D4C7D" w:rsidRPr="00D44C2C" w:rsidRDefault="000D4C7D" w:rsidP="00D44C2C">
      <w:pPr>
        <w:pStyle w:val="NormlWeb"/>
        <w:spacing w:before="0" w:beforeAutospacing="0" w:after="0" w:afterAutospacing="0" w:line="283" w:lineRule="auto"/>
        <w:ind w:left="150" w:right="150"/>
        <w:jc w:val="both"/>
      </w:pPr>
    </w:p>
    <w:p w:rsidR="000D4C7D" w:rsidRPr="00D44C2C" w:rsidRDefault="000D4C7D" w:rsidP="00D44C2C">
      <w:pPr>
        <w:pStyle w:val="NormlWeb"/>
        <w:spacing w:before="0" w:beforeAutospacing="0" w:after="0" w:afterAutospacing="0" w:line="283" w:lineRule="auto"/>
        <w:ind w:left="150" w:right="150"/>
        <w:jc w:val="both"/>
      </w:pPr>
    </w:p>
    <w:p w:rsidR="000D4C7D" w:rsidRPr="00D44C2C" w:rsidRDefault="000D4C7D" w:rsidP="00D44C2C">
      <w:pPr>
        <w:pStyle w:val="NormlWeb"/>
        <w:spacing w:before="0" w:beforeAutospacing="0" w:after="0" w:afterAutospacing="0" w:line="283" w:lineRule="auto"/>
        <w:ind w:right="150"/>
        <w:jc w:val="both"/>
      </w:pPr>
    </w:p>
    <w:p w:rsidR="000D4C7D" w:rsidRPr="00D44C2C" w:rsidRDefault="000D4C7D" w:rsidP="00D44C2C">
      <w:pPr>
        <w:pStyle w:val="NormlWeb"/>
        <w:spacing w:before="0" w:beforeAutospacing="0" w:after="0" w:afterAutospacing="0" w:line="283" w:lineRule="auto"/>
        <w:ind w:left="150" w:right="150"/>
        <w:jc w:val="both"/>
      </w:pPr>
    </w:p>
    <w:p w:rsidR="000D4C7D" w:rsidRPr="00D44C2C" w:rsidRDefault="000D4C7D" w:rsidP="00D44C2C">
      <w:pPr>
        <w:pStyle w:val="NormlWeb"/>
        <w:spacing w:before="0" w:beforeAutospacing="0" w:after="0" w:afterAutospacing="0" w:line="283" w:lineRule="auto"/>
        <w:ind w:left="147" w:right="147"/>
        <w:jc w:val="right"/>
      </w:pPr>
      <w:proofErr w:type="gramStart"/>
      <w:r w:rsidRPr="00D44C2C">
        <w:t>dr.</w:t>
      </w:r>
      <w:proofErr w:type="gramEnd"/>
      <w:r w:rsidRPr="00D44C2C">
        <w:t xml:space="preserve"> Balázs Ildikó</w:t>
      </w:r>
    </w:p>
    <w:p w:rsidR="000D4C7D" w:rsidRPr="00D44C2C" w:rsidRDefault="000D4C7D" w:rsidP="00D44C2C">
      <w:pPr>
        <w:pStyle w:val="NormlWeb"/>
        <w:spacing w:before="0" w:beforeAutospacing="0" w:after="0" w:afterAutospacing="0" w:line="283" w:lineRule="auto"/>
        <w:ind w:left="147" w:right="147"/>
        <w:jc w:val="right"/>
      </w:pPr>
      <w:proofErr w:type="gramStart"/>
      <w:r w:rsidRPr="00D44C2C">
        <w:t>főtitkár</w:t>
      </w:r>
      <w:proofErr w:type="gramEnd"/>
    </w:p>
    <w:p w:rsidR="000D4C7D" w:rsidRPr="00D44C2C" w:rsidRDefault="000D4C7D" w:rsidP="00D44C2C">
      <w:pPr>
        <w:pStyle w:val="NormlWeb"/>
        <w:spacing w:before="0" w:beforeAutospacing="0" w:after="0" w:afterAutospacing="0" w:line="283" w:lineRule="auto"/>
        <w:ind w:left="147" w:right="147"/>
        <w:jc w:val="right"/>
      </w:pPr>
      <w:proofErr w:type="spellStart"/>
      <w:r w:rsidRPr="00D44C2C">
        <w:t>Tettrekész</w:t>
      </w:r>
      <w:proofErr w:type="spellEnd"/>
      <w:r w:rsidRPr="00D44C2C">
        <w:t xml:space="preserve"> Magyar Rendőrség Szakszervezete</w:t>
      </w:r>
    </w:p>
    <w:p w:rsidR="00EA6E35" w:rsidRPr="00D44C2C" w:rsidRDefault="00EA6E35" w:rsidP="00D44C2C">
      <w:pPr>
        <w:spacing w:after="0" w:line="283" w:lineRule="auto"/>
        <w:rPr>
          <w:rFonts w:ascii="Times New Roman" w:hAnsi="Times New Roman" w:cs="Times New Roman"/>
          <w:sz w:val="24"/>
          <w:szCs w:val="24"/>
        </w:rPr>
      </w:pPr>
    </w:p>
    <w:sectPr w:rsidR="00EA6E35" w:rsidRPr="00D44C2C" w:rsidSect="002F4BA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6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69" w:rsidRDefault="007A5769" w:rsidP="00EA6E35">
      <w:pPr>
        <w:spacing w:after="0" w:line="240" w:lineRule="auto"/>
      </w:pPr>
      <w:r>
        <w:separator/>
      </w:r>
    </w:p>
  </w:endnote>
  <w:endnote w:type="continuationSeparator" w:id="0">
    <w:p w:rsidR="007A5769" w:rsidRDefault="007A5769" w:rsidP="00EA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9491"/>
      <w:docPartObj>
        <w:docPartGallery w:val="Page Numbers (Bottom of Page)"/>
        <w:docPartUnique/>
      </w:docPartObj>
    </w:sdtPr>
    <w:sdtContent>
      <w:p w:rsidR="00D7001A" w:rsidRDefault="00FB31E7">
        <w:pPr>
          <w:pStyle w:val="llb"/>
          <w:jc w:val="center"/>
        </w:pPr>
        <w:fldSimple w:instr=" PAGE   \* MERGEFORMAT ">
          <w:r w:rsidR="00D1066B">
            <w:rPr>
              <w:noProof/>
            </w:rPr>
            <w:t>5</w:t>
          </w:r>
        </w:fldSimple>
      </w:p>
    </w:sdtContent>
  </w:sdt>
  <w:p w:rsidR="00D7001A" w:rsidRDefault="00D7001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Ind w:w="108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8962"/>
    </w:tblGrid>
    <w:tr w:rsidR="00D7001A" w:rsidTr="00110A07">
      <w:tc>
        <w:tcPr>
          <w:tcW w:w="8962" w:type="dxa"/>
        </w:tcPr>
        <w:p w:rsidR="00D7001A" w:rsidRDefault="00D7001A" w:rsidP="00110A07">
          <w:pPr>
            <w:pStyle w:val="TableContents"/>
            <w:ind w:right="-88"/>
            <w:jc w:val="center"/>
            <w:rPr>
              <w:b/>
            </w:rPr>
          </w:pPr>
        </w:p>
      </w:tc>
    </w:tr>
  </w:tbl>
  <w:p w:rsidR="00D7001A" w:rsidRPr="009B409D" w:rsidRDefault="00D7001A" w:rsidP="00EA6E35">
    <w:pPr>
      <w:pStyle w:val="TableContents"/>
      <w:ind w:left="-142" w:right="-88"/>
      <w:jc w:val="center"/>
      <w:rPr>
        <w:b/>
      </w:rPr>
    </w:pPr>
    <w:r w:rsidRPr="009B409D">
      <w:rPr>
        <w:b/>
      </w:rPr>
      <w:t>Levelezési cím: 7101 Szekszárd PF: 297</w:t>
    </w:r>
    <w:r>
      <w:rPr>
        <w:b/>
      </w:rPr>
      <w:t>.</w:t>
    </w:r>
  </w:p>
  <w:p w:rsidR="00D7001A" w:rsidRPr="001E7908" w:rsidRDefault="00D7001A" w:rsidP="00EA6E35">
    <w:pPr>
      <w:pStyle w:val="TableContents"/>
      <w:ind w:left="-142" w:right="-88"/>
      <w:jc w:val="center"/>
    </w:pPr>
    <w:r w:rsidRPr="001E7908">
      <w:t xml:space="preserve">Tel: </w:t>
    </w:r>
    <w:proofErr w:type="gramStart"/>
    <w:r w:rsidRPr="001E7908">
      <w:t>06-74-512-297   Fax</w:t>
    </w:r>
    <w:proofErr w:type="gramEnd"/>
    <w:r w:rsidRPr="001E7908">
      <w:t>: 06-74-510-042</w:t>
    </w:r>
  </w:p>
  <w:p w:rsidR="00D7001A" w:rsidRPr="00696224" w:rsidRDefault="00D7001A" w:rsidP="00EA6E35">
    <w:pPr>
      <w:pStyle w:val="TableContents"/>
      <w:ind w:left="-142" w:right="-88"/>
      <w:jc w:val="center"/>
    </w:pPr>
    <w:proofErr w:type="gramStart"/>
    <w:r w:rsidRPr="00696224">
      <w:t>e-mail</w:t>
    </w:r>
    <w:proofErr w:type="gramEnd"/>
    <w:r w:rsidRPr="00696224">
      <w:t xml:space="preserve">: </w:t>
    </w:r>
    <w:hyperlink r:id="rId1" w:history="1">
      <w:r w:rsidRPr="002750AB">
        <w:rPr>
          <w:rStyle w:val="Hiperhivatkozs"/>
        </w:rPr>
        <w:t>tmrsz2004@gmail.com</w:t>
      </w:r>
    </w:hyperlink>
  </w:p>
  <w:p w:rsidR="00D7001A" w:rsidRDefault="00D7001A" w:rsidP="00EA6E35">
    <w:pPr>
      <w:pStyle w:val="TableContents"/>
      <w:ind w:left="-142" w:right="-88"/>
      <w:jc w:val="center"/>
    </w:pPr>
    <w:proofErr w:type="gramStart"/>
    <w:r>
      <w:t>cégkapu</w:t>
    </w:r>
    <w:proofErr w:type="gramEnd"/>
    <w:r>
      <w:t xml:space="preserve"> neve: TMRSZ   címe: 18864607#</w:t>
    </w:r>
    <w:proofErr w:type="spellStart"/>
    <w:r>
      <w:t>cegkapu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69" w:rsidRDefault="007A5769" w:rsidP="00EA6E35">
      <w:pPr>
        <w:spacing w:after="0" w:line="240" w:lineRule="auto"/>
      </w:pPr>
      <w:r>
        <w:separator/>
      </w:r>
    </w:p>
  </w:footnote>
  <w:footnote w:type="continuationSeparator" w:id="0">
    <w:p w:rsidR="007A5769" w:rsidRDefault="007A5769" w:rsidP="00EA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1A" w:rsidRDefault="00D7001A" w:rsidP="00EA6E35">
    <w:pPr>
      <w:pStyle w:val="TableContents"/>
      <w:tabs>
        <w:tab w:val="center" w:pos="5670"/>
      </w:tabs>
      <w:ind w:left="-142" w:right="-88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1A" w:rsidRPr="00696224" w:rsidRDefault="00D7001A" w:rsidP="00EA6E35">
    <w:pPr>
      <w:pStyle w:val="TableContents"/>
      <w:tabs>
        <w:tab w:val="center" w:pos="5670"/>
      </w:tabs>
      <w:ind w:left="-142" w:right="-88"/>
      <w:rPr>
        <w:b/>
      </w:rPr>
    </w:pPr>
    <w:r>
      <w:rPr>
        <w:b/>
      </w:rPr>
      <w:tab/>
    </w:r>
    <w:r w:rsidRPr="00696224">
      <w:rPr>
        <w:b/>
      </w:rPr>
      <w:t>TETTREKÉSZ MAGYAR RENDŐRSÉG</w:t>
    </w:r>
  </w:p>
  <w:p w:rsidR="00D7001A" w:rsidRPr="00696224" w:rsidRDefault="00D7001A" w:rsidP="00EA6E35">
    <w:pPr>
      <w:pStyle w:val="TableContents"/>
      <w:tabs>
        <w:tab w:val="center" w:pos="5670"/>
      </w:tabs>
      <w:ind w:left="-142" w:right="-88"/>
      <w:rPr>
        <w:b/>
      </w:rPr>
    </w:pPr>
    <w:r>
      <w:rPr>
        <w:b/>
      </w:rPr>
      <w:tab/>
    </w:r>
    <w:r w:rsidRPr="00696224">
      <w:rPr>
        <w:b/>
      </w:rPr>
      <w:t>SZAKSZERVEZETE</w:t>
    </w:r>
  </w:p>
  <w:p w:rsidR="00D7001A" w:rsidRPr="009B409D" w:rsidRDefault="00D7001A" w:rsidP="00EA6E35">
    <w:pPr>
      <w:pStyle w:val="TableContents"/>
      <w:ind w:left="-142" w:right="-88"/>
      <w:rPr>
        <w:b/>
        <w:sz w:val="20"/>
        <w:szCs w:val="20"/>
      </w:rPr>
    </w:pPr>
    <w:r w:rsidRPr="00EA6E35">
      <w:rPr>
        <w:b/>
        <w:noProof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-647700</wp:posOffset>
          </wp:positionV>
          <wp:extent cx="1819275" cy="1571625"/>
          <wp:effectExtent l="19050" t="0" r="9525" b="0"/>
          <wp:wrapSquare wrapText="largest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571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01A" w:rsidRPr="00696224" w:rsidRDefault="00D7001A" w:rsidP="00EA6E35">
    <w:pPr>
      <w:pStyle w:val="TableContents"/>
      <w:tabs>
        <w:tab w:val="center" w:pos="5670"/>
      </w:tabs>
      <w:ind w:left="-142" w:right="-88"/>
      <w:rPr>
        <w:b/>
      </w:rPr>
    </w:pPr>
    <w:r>
      <w:rPr>
        <w:b/>
      </w:rPr>
      <w:tab/>
    </w:r>
    <w:r w:rsidRPr="00696224">
      <w:rPr>
        <w:b/>
      </w:rPr>
      <w:t>SZEKSZÁRD</w:t>
    </w:r>
  </w:p>
  <w:p w:rsidR="00D7001A" w:rsidRDefault="00D7001A" w:rsidP="00EA6E35">
    <w:pPr>
      <w:pStyle w:val="TableContents"/>
      <w:tabs>
        <w:tab w:val="center" w:pos="5670"/>
      </w:tabs>
      <w:ind w:left="-142" w:right="-88"/>
      <w:rPr>
        <w:b/>
      </w:rPr>
    </w:pPr>
    <w:r>
      <w:tab/>
    </w:r>
    <w:proofErr w:type="spellStart"/>
    <w:r w:rsidRPr="00EA6E35">
      <w:rPr>
        <w:b/>
      </w:rPr>
      <w:t>Augusz</w:t>
    </w:r>
    <w:proofErr w:type="spellEnd"/>
    <w:r w:rsidRPr="00EA6E35">
      <w:rPr>
        <w:b/>
      </w:rPr>
      <w:t xml:space="preserve"> Imre u. 9-11. 3. emelet 306-307.</w:t>
    </w:r>
  </w:p>
  <w:p w:rsidR="00D7001A" w:rsidRDefault="00D7001A" w:rsidP="00EA6E35">
    <w:pPr>
      <w:pStyle w:val="TableContents"/>
      <w:tabs>
        <w:tab w:val="center" w:pos="5670"/>
      </w:tabs>
      <w:ind w:left="-142" w:right="-88"/>
      <w:rPr>
        <w:b/>
      </w:rPr>
    </w:pPr>
    <w:r>
      <w:rPr>
        <w:b/>
      </w:rPr>
      <w:tab/>
    </w:r>
    <w:hyperlink r:id="rId2" w:history="1">
      <w:r w:rsidRPr="00583A96">
        <w:rPr>
          <w:rStyle w:val="Hiperhivatkozs"/>
          <w:b/>
        </w:rPr>
        <w:t>http://www.tmrsz.hu</w:t>
      </w:r>
    </w:hyperlink>
  </w:p>
  <w:p w:rsidR="00D7001A" w:rsidRDefault="00D7001A" w:rsidP="00EA6E35">
    <w:pPr>
      <w:pStyle w:val="TableContents"/>
      <w:tabs>
        <w:tab w:val="center" w:pos="5670"/>
      </w:tabs>
      <w:ind w:left="-142" w:right="-88"/>
      <w:rPr>
        <w:b/>
      </w:rPr>
    </w:pPr>
  </w:p>
  <w:tbl>
    <w:tblPr>
      <w:tblStyle w:val="Rcsostblzat"/>
      <w:tblW w:w="0" w:type="auto"/>
      <w:tblInd w:w="-142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/>
    </w:tblPr>
    <w:tblGrid>
      <w:gridCol w:w="9212"/>
    </w:tblGrid>
    <w:tr w:rsidR="00D7001A" w:rsidTr="00110A07">
      <w:tc>
        <w:tcPr>
          <w:tcW w:w="9212" w:type="dxa"/>
        </w:tcPr>
        <w:p w:rsidR="00D7001A" w:rsidRDefault="00D7001A" w:rsidP="00110A07">
          <w:pPr>
            <w:pStyle w:val="TableContents"/>
            <w:tabs>
              <w:tab w:val="center" w:pos="5670"/>
            </w:tabs>
            <w:ind w:right="-88"/>
            <w:rPr>
              <w:b/>
            </w:rPr>
          </w:pPr>
        </w:p>
      </w:tc>
    </w:tr>
  </w:tbl>
  <w:p w:rsidR="00D7001A" w:rsidRDefault="00D7001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E35"/>
    <w:rsid w:val="000066C3"/>
    <w:rsid w:val="00087619"/>
    <w:rsid w:val="000D4C7D"/>
    <w:rsid w:val="00110A07"/>
    <w:rsid w:val="002353AF"/>
    <w:rsid w:val="00274F91"/>
    <w:rsid w:val="002F4BA0"/>
    <w:rsid w:val="003101BC"/>
    <w:rsid w:val="003C5A1B"/>
    <w:rsid w:val="003D47C7"/>
    <w:rsid w:val="00457C4F"/>
    <w:rsid w:val="00545B47"/>
    <w:rsid w:val="00566BBC"/>
    <w:rsid w:val="00574D7A"/>
    <w:rsid w:val="006276E0"/>
    <w:rsid w:val="007A5769"/>
    <w:rsid w:val="00881772"/>
    <w:rsid w:val="008C7CDD"/>
    <w:rsid w:val="008D4392"/>
    <w:rsid w:val="008D524B"/>
    <w:rsid w:val="00916013"/>
    <w:rsid w:val="009A10BB"/>
    <w:rsid w:val="00AB3FC0"/>
    <w:rsid w:val="00B323A5"/>
    <w:rsid w:val="00B462CE"/>
    <w:rsid w:val="00CA755F"/>
    <w:rsid w:val="00D1066B"/>
    <w:rsid w:val="00D44C2C"/>
    <w:rsid w:val="00D7001A"/>
    <w:rsid w:val="00EA6E35"/>
    <w:rsid w:val="00F14D39"/>
    <w:rsid w:val="00FB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3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A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6E35"/>
  </w:style>
  <w:style w:type="paragraph" w:styleId="llb">
    <w:name w:val="footer"/>
    <w:basedOn w:val="Norml"/>
    <w:link w:val="llbChar"/>
    <w:uiPriority w:val="99"/>
    <w:unhideWhenUsed/>
    <w:rsid w:val="00EA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E35"/>
  </w:style>
  <w:style w:type="paragraph" w:customStyle="1" w:styleId="TableContents">
    <w:name w:val="Table Contents"/>
    <w:basedOn w:val="Norml"/>
    <w:rsid w:val="00EA6E35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A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E3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A6E35"/>
    <w:rPr>
      <w:color w:val="0000FF"/>
      <w:u w:val="single"/>
    </w:rPr>
  </w:style>
  <w:style w:type="paragraph" w:styleId="NormlWeb">
    <w:name w:val="Normal (Web)"/>
    <w:basedOn w:val="Norml"/>
    <w:uiPriority w:val="99"/>
    <w:rsid w:val="000D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mrsz2004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mr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1505</Words>
  <Characters>10386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 Rita</dc:creator>
  <cp:lastModifiedBy>Rang Rita</cp:lastModifiedBy>
  <cp:revision>3</cp:revision>
  <cp:lastPrinted>2019-04-11T11:13:00Z</cp:lastPrinted>
  <dcterms:created xsi:type="dcterms:W3CDTF">2019-12-05T10:58:00Z</dcterms:created>
  <dcterms:modified xsi:type="dcterms:W3CDTF">2019-12-05T11:11:00Z</dcterms:modified>
</cp:coreProperties>
</file>